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053" w:rsidRDefault="00114053" w:rsidP="00114053">
      <w:pPr>
        <w:autoSpaceDE w:val="0"/>
        <w:autoSpaceDN w:val="0"/>
        <w:adjustRightInd w:val="0"/>
        <w:spacing w:after="0" w:line="240" w:lineRule="auto"/>
        <w:jc w:val="center"/>
        <w:rPr>
          <w:rFonts w:ascii="Garamond,Bold" w:hAnsi="Garamond,Bold" w:cs="Garamond,Bold"/>
          <w:b/>
          <w:bCs/>
          <w:color w:val="000000"/>
          <w:sz w:val="48"/>
          <w:szCs w:val="48"/>
        </w:rPr>
      </w:pPr>
      <w:r>
        <w:rPr>
          <w:rFonts w:ascii="Garamond,Bold" w:hAnsi="Garamond,Bold" w:cs="Garamond,Bold"/>
          <w:b/>
          <w:bCs/>
          <w:color w:val="000000"/>
          <w:sz w:val="48"/>
          <w:szCs w:val="48"/>
        </w:rPr>
        <w:t xml:space="preserve">COMUNE </w:t>
      </w:r>
      <w:proofErr w:type="spellStart"/>
      <w:r>
        <w:rPr>
          <w:rFonts w:ascii="Garamond,Bold" w:hAnsi="Garamond,Bold" w:cs="Garamond,Bold"/>
          <w:b/>
          <w:bCs/>
          <w:color w:val="000000"/>
          <w:sz w:val="48"/>
          <w:szCs w:val="48"/>
        </w:rPr>
        <w:t>DI</w:t>
      </w:r>
      <w:proofErr w:type="spellEnd"/>
      <w:r>
        <w:rPr>
          <w:rFonts w:ascii="Garamond,Bold" w:hAnsi="Garamond,Bold" w:cs="Garamond,Bold"/>
          <w:b/>
          <w:bCs/>
          <w:color w:val="000000"/>
          <w:sz w:val="48"/>
          <w:szCs w:val="48"/>
        </w:rPr>
        <w:t xml:space="preserve"> SCOPPITO</w:t>
      </w:r>
    </w:p>
    <w:p w:rsidR="00114053" w:rsidRDefault="00114053" w:rsidP="00114053">
      <w:pPr>
        <w:autoSpaceDE w:val="0"/>
        <w:autoSpaceDN w:val="0"/>
        <w:adjustRightInd w:val="0"/>
        <w:spacing w:after="0" w:line="240" w:lineRule="auto"/>
        <w:jc w:val="center"/>
        <w:rPr>
          <w:rFonts w:ascii="Garamond,Bold" w:hAnsi="Garamond,Bold" w:cs="Garamond,Bold"/>
          <w:b/>
          <w:bCs/>
          <w:color w:val="000000"/>
          <w:sz w:val="32"/>
          <w:szCs w:val="32"/>
        </w:rPr>
      </w:pPr>
      <w:r>
        <w:rPr>
          <w:rFonts w:ascii="Garamond,Bold" w:hAnsi="Garamond,Bold" w:cs="Garamond,Bold"/>
          <w:b/>
          <w:bCs/>
          <w:color w:val="000000"/>
          <w:sz w:val="32"/>
          <w:szCs w:val="32"/>
        </w:rPr>
        <w:t>Provincia di L’AQUILA</w:t>
      </w:r>
    </w:p>
    <w:p w:rsidR="00114053" w:rsidRDefault="00114053" w:rsidP="00114053">
      <w:pPr>
        <w:autoSpaceDE w:val="0"/>
        <w:autoSpaceDN w:val="0"/>
        <w:adjustRightInd w:val="0"/>
        <w:spacing w:after="0" w:line="240" w:lineRule="auto"/>
        <w:jc w:val="right"/>
        <w:rPr>
          <w:rFonts w:ascii="Calibri" w:hAnsi="Calibri" w:cs="Calibri"/>
        </w:rPr>
      </w:pPr>
    </w:p>
    <w:p w:rsidR="00114053" w:rsidRDefault="00114053" w:rsidP="00114053">
      <w:pPr>
        <w:tabs>
          <w:tab w:val="right" w:leader="dot" w:pos="9638"/>
        </w:tabs>
        <w:autoSpaceDE w:val="0"/>
        <w:autoSpaceDN w:val="0"/>
        <w:adjustRightInd w:val="0"/>
        <w:spacing w:after="0" w:line="240" w:lineRule="auto"/>
        <w:jc w:val="center"/>
        <w:rPr>
          <w:rFonts w:ascii="Andalus" w:hAnsi="Andalus" w:cs="Andalus"/>
          <w:b/>
          <w:bCs/>
          <w:color w:val="000000"/>
          <w:sz w:val="32"/>
          <w:szCs w:val="32"/>
          <w:highlight w:val="yellow"/>
        </w:rPr>
      </w:pPr>
      <w:proofErr w:type="spellStart"/>
      <w:r>
        <w:rPr>
          <w:rFonts w:ascii="Andalus" w:hAnsi="Andalus" w:cs="Andalus"/>
          <w:b/>
          <w:bCs/>
          <w:color w:val="000000"/>
          <w:sz w:val="32"/>
          <w:szCs w:val="32"/>
          <w:highlight w:val="yellow"/>
        </w:rPr>
        <w:t>I.M.U.</w:t>
      </w:r>
      <w:proofErr w:type="spellEnd"/>
      <w:r>
        <w:rPr>
          <w:rFonts w:ascii="Andalus" w:hAnsi="Andalus" w:cs="Andalus"/>
          <w:b/>
          <w:bCs/>
          <w:color w:val="000000"/>
          <w:sz w:val="32"/>
          <w:szCs w:val="32"/>
          <w:highlight w:val="yellow"/>
        </w:rPr>
        <w:t xml:space="preserve"> VERSAMENTO ACCONTO 2016</w:t>
      </w:r>
    </w:p>
    <w:p w:rsidR="00114053" w:rsidRDefault="00114053" w:rsidP="00114053">
      <w:pPr>
        <w:tabs>
          <w:tab w:val="right" w:leader="dot" w:pos="9638"/>
        </w:tabs>
        <w:autoSpaceDE w:val="0"/>
        <w:autoSpaceDN w:val="0"/>
        <w:adjustRightInd w:val="0"/>
        <w:spacing w:after="0" w:line="240" w:lineRule="auto"/>
        <w:rPr>
          <w:rFonts w:ascii="Calibri" w:hAnsi="Calibri" w:cs="Calibri"/>
        </w:rPr>
      </w:pPr>
    </w:p>
    <w:p w:rsidR="00114053" w:rsidRDefault="00114053" w:rsidP="00114053">
      <w:pPr>
        <w:autoSpaceDE w:val="0"/>
        <w:autoSpaceDN w:val="0"/>
        <w:adjustRightInd w:val="0"/>
        <w:spacing w:after="0" w:line="240" w:lineRule="auto"/>
        <w:ind w:right="-1"/>
        <w:jc w:val="both"/>
        <w:rPr>
          <w:rFonts w:ascii="Book Antiqua" w:hAnsi="Book Antiqua" w:cs="Book Antiqua"/>
          <w:b/>
          <w:bCs/>
          <w:sz w:val="16"/>
          <w:szCs w:val="16"/>
          <w:highlight w:val="yellow"/>
        </w:rPr>
      </w:pPr>
      <w:r>
        <w:rPr>
          <w:rFonts w:ascii="Book Antiqua" w:hAnsi="Book Antiqua" w:cs="Book Antiqua"/>
          <w:b/>
          <w:bCs/>
          <w:sz w:val="16"/>
          <w:szCs w:val="16"/>
          <w:highlight w:val="yellow"/>
        </w:rPr>
        <w:t xml:space="preserve">Si informa che entro il 16 GIUGNO 2016 deve essere effettuato il versamento dell'  ACCONTO dell’imposta municipale propria IMU per l’ anno 2016. </w:t>
      </w:r>
    </w:p>
    <w:p w:rsidR="00114053" w:rsidRDefault="00114053" w:rsidP="00114053">
      <w:pPr>
        <w:autoSpaceDE w:val="0"/>
        <w:autoSpaceDN w:val="0"/>
        <w:adjustRightInd w:val="0"/>
        <w:spacing w:after="0" w:line="240" w:lineRule="auto"/>
        <w:jc w:val="both"/>
        <w:rPr>
          <w:rFonts w:ascii="Calibri" w:hAnsi="Calibri" w:cs="Calibri"/>
        </w:rPr>
      </w:pPr>
    </w:p>
    <w:p w:rsidR="00114053" w:rsidRDefault="00114053" w:rsidP="00114053">
      <w:pPr>
        <w:autoSpaceDE w:val="0"/>
        <w:autoSpaceDN w:val="0"/>
        <w:adjustRightInd w:val="0"/>
        <w:spacing w:after="0" w:line="240" w:lineRule="auto"/>
        <w:jc w:val="both"/>
        <w:rPr>
          <w:rFonts w:ascii="Book Antiqua" w:hAnsi="Book Antiqua" w:cs="Book Antiqua"/>
          <w:b/>
          <w:bCs/>
          <w:color w:val="000000"/>
          <w:sz w:val="16"/>
          <w:szCs w:val="16"/>
        </w:rPr>
      </w:pPr>
      <w:r>
        <w:rPr>
          <w:rFonts w:ascii="Book Antiqua" w:hAnsi="Book Antiqua" w:cs="Book Antiqua"/>
          <w:b/>
          <w:bCs/>
          <w:color w:val="000000"/>
          <w:sz w:val="16"/>
          <w:szCs w:val="16"/>
        </w:rPr>
        <w:t xml:space="preserve">Sono soggetti passivi IMU i proprietari di immobili, incluse le aree edificabili, a qualsiasi uso destinati, ivi compresi quelli strumentali o alla cui produzione o scambio è diretta l’attività dell’impresa, ovvero il titolare  di diritto reale di usufrutto, uso, abitazione, enfiteusi, superficie sugli stessi. Nel caso di concessione di aree demaniali, soggetto passivo è il concessionario. </w:t>
      </w:r>
    </w:p>
    <w:p w:rsidR="00114053" w:rsidRDefault="00114053" w:rsidP="00114053">
      <w:pPr>
        <w:autoSpaceDE w:val="0"/>
        <w:autoSpaceDN w:val="0"/>
        <w:adjustRightInd w:val="0"/>
        <w:spacing w:after="0" w:line="240" w:lineRule="auto"/>
        <w:jc w:val="both"/>
        <w:rPr>
          <w:rFonts w:ascii="Calibri" w:hAnsi="Calibri" w:cs="Calibri"/>
        </w:rPr>
      </w:pPr>
    </w:p>
    <w:p w:rsidR="00114053" w:rsidRDefault="00114053" w:rsidP="00114053">
      <w:pPr>
        <w:autoSpaceDE w:val="0"/>
        <w:autoSpaceDN w:val="0"/>
        <w:adjustRightInd w:val="0"/>
        <w:spacing w:after="0" w:line="240" w:lineRule="auto"/>
        <w:jc w:val="both"/>
        <w:rPr>
          <w:rFonts w:ascii="Book Antiqua" w:hAnsi="Book Antiqua" w:cs="Book Antiqua"/>
          <w:b/>
          <w:bCs/>
          <w:color w:val="000000"/>
          <w:sz w:val="16"/>
          <w:szCs w:val="16"/>
        </w:rPr>
      </w:pPr>
      <w:r>
        <w:rPr>
          <w:rFonts w:ascii="Book Antiqua" w:hAnsi="Book Antiqua" w:cs="Book Antiqua"/>
          <w:b/>
          <w:bCs/>
          <w:color w:val="000000"/>
          <w:sz w:val="16"/>
          <w:szCs w:val="16"/>
        </w:rPr>
        <w:t>L’Imposta Municipale Propria (IMU) non si applica al possesso dei seguenti immobili:</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A"/>
          <w:sz w:val="16"/>
          <w:szCs w:val="16"/>
        </w:rPr>
      </w:pPr>
      <w:r>
        <w:rPr>
          <w:rFonts w:ascii="Book Antiqua" w:hAnsi="Book Antiqua" w:cs="Book Antiqua"/>
          <w:color w:val="00000A"/>
          <w:sz w:val="16"/>
          <w:szCs w:val="16"/>
        </w:rPr>
        <w:t>unità immobiliare adibita ad abitazione principale e alle pertinenze della stessa, ad eccezione di quelle classificate nelle categorie A/1, A/8 e A/9 per le quali continuano ad applicarsi l’aliquota agevolata e la detrazione d’imposta;</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unità immobiliare posseduta a titolo di proprietà o di usufrutto da anziani o disabili che acquisiscono la residenza in istituti di ricovero o sanitari a seguito di ricovero permanente, a condizione che la stessa non risulti locata;</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casa coniugale assegnata al coniuge, a seguito di provvedimento di separazione legale, annullamento, scioglimento o cessazione degli effetti civili del matrimonio;</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fabbricati costruiti e destinati dall’impresa alla vendita, fintanto che permane tale destinazione e non siano in ogni caso locati;</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unità immobiliari appartenenti alle cooperative edilizie a proprietà indivisa, adibite ad abitazione principale e relative pertinenze dei soci assegnatari;</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fabbricati di civile abitazione destinati ad alloggi sociali come definite dal decreto del Ministero delle Infrastrutture 22 aprile 2008, pubblicato nella Gazzetta Ufficiale n. 146 del 24 giugno 2008;</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unico immobile, iscritto o iscrivibile nel catasto edilizio urbano come unica unità immobiliare, posseduto, e non concesso in locazione,  dal personale in servizio permanente appartenente alle Forze Armate, alle Forze di Polizia, al Corpo Nazionale dei Vigili del Fuoco, per il quale non sono richiesti le condizioni della dimora abituale e della residenza anagrafica;</w:t>
      </w:r>
    </w:p>
    <w:p w:rsidR="00114053" w:rsidRDefault="00114053" w:rsidP="00114053">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fabbricati rurali ad uso strumentale (art. 1, comma 708, della legge 147/2013);</w:t>
      </w:r>
    </w:p>
    <w:p w:rsidR="00114053" w:rsidRDefault="00114053" w:rsidP="00114053">
      <w:pPr>
        <w:numPr>
          <w:ilvl w:val="0"/>
          <w:numId w:val="1"/>
        </w:numPr>
        <w:tabs>
          <w:tab w:val="left" w:pos="208"/>
        </w:tabs>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unità immobiliare posseduta dai cittadini italiani non residenti nel territorio dello Stato ed iscritti all’AIRE, già pensionati nei rispettivi paesi di residenza, a titolo di proprietà o di usufrutto in Italia, a condizione che non risulti locata o data in comodato (D.L. 47/2014);</w:t>
      </w:r>
    </w:p>
    <w:p w:rsidR="00114053" w:rsidRDefault="00114053" w:rsidP="00114053">
      <w:pPr>
        <w:numPr>
          <w:ilvl w:val="0"/>
          <w:numId w:val="1"/>
        </w:numPr>
        <w:tabs>
          <w:tab w:val="left" w:pos="208"/>
        </w:tabs>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alloggi regolarmente assegnati dagli Istituti Autonomi per le case popolari;</w:t>
      </w:r>
    </w:p>
    <w:p w:rsidR="00E13853" w:rsidRDefault="00E13853" w:rsidP="00114053">
      <w:pPr>
        <w:tabs>
          <w:tab w:val="left" w:pos="568"/>
        </w:tabs>
        <w:autoSpaceDE w:val="0"/>
        <w:autoSpaceDN w:val="0"/>
        <w:adjustRightInd w:val="0"/>
        <w:spacing w:after="0" w:line="240" w:lineRule="auto"/>
        <w:ind w:left="284" w:hanging="284"/>
        <w:jc w:val="both"/>
        <w:rPr>
          <w:rFonts w:ascii="Book Antiqua" w:hAnsi="Book Antiqua" w:cs="Book Antiqua"/>
          <w:color w:val="000000"/>
          <w:sz w:val="16"/>
          <w:szCs w:val="16"/>
        </w:rPr>
      </w:pPr>
    </w:p>
    <w:p w:rsidR="00114053" w:rsidRDefault="00114053" w:rsidP="00114053">
      <w:pPr>
        <w:tabs>
          <w:tab w:val="left" w:pos="568"/>
        </w:tabs>
        <w:autoSpaceDE w:val="0"/>
        <w:autoSpaceDN w:val="0"/>
        <w:adjustRightInd w:val="0"/>
        <w:spacing w:after="0" w:line="240" w:lineRule="auto"/>
        <w:ind w:left="284" w:hanging="284"/>
        <w:jc w:val="both"/>
        <w:rPr>
          <w:rFonts w:ascii="Book Antiqua" w:hAnsi="Book Antiqua" w:cs="Book Antiqua"/>
          <w:color w:val="000000"/>
          <w:sz w:val="24"/>
          <w:szCs w:val="24"/>
        </w:rPr>
      </w:pPr>
      <w:r>
        <w:rPr>
          <w:rFonts w:ascii="Book Antiqua" w:hAnsi="Book Antiqua" w:cs="Book Antiqua"/>
          <w:color w:val="000000"/>
          <w:sz w:val="24"/>
          <w:szCs w:val="24"/>
        </w:rPr>
        <w:t>Quanto al comodato d' uso si applica la nuova normativa determinata dalla L. 208 del 28/12/2015 .</w:t>
      </w:r>
    </w:p>
    <w:p w:rsidR="00114053" w:rsidRDefault="00114053" w:rsidP="00114053">
      <w:pPr>
        <w:autoSpaceDE w:val="0"/>
        <w:autoSpaceDN w:val="0"/>
        <w:adjustRightInd w:val="0"/>
        <w:spacing w:after="0" w:line="240" w:lineRule="auto"/>
        <w:ind w:left="284" w:hanging="284"/>
        <w:jc w:val="both"/>
        <w:rPr>
          <w:rFonts w:ascii="Calibri" w:hAnsi="Calibri" w:cs="Calibri"/>
        </w:rPr>
      </w:pPr>
    </w:p>
    <w:p w:rsidR="00114053" w:rsidRDefault="00114053" w:rsidP="00114053">
      <w:pPr>
        <w:autoSpaceDE w:val="0"/>
        <w:autoSpaceDN w:val="0"/>
        <w:adjustRightInd w:val="0"/>
        <w:spacing w:after="0" w:line="240" w:lineRule="auto"/>
        <w:ind w:left="284" w:hanging="284"/>
        <w:jc w:val="both"/>
        <w:rPr>
          <w:rFonts w:ascii="Calibri" w:hAnsi="Calibri" w:cs="Calibri"/>
        </w:rPr>
      </w:pPr>
    </w:p>
    <w:p w:rsidR="00114053" w:rsidRDefault="00114053" w:rsidP="00114053">
      <w:pPr>
        <w:autoSpaceDE w:val="0"/>
        <w:autoSpaceDN w:val="0"/>
        <w:adjustRightInd w:val="0"/>
        <w:spacing w:after="0" w:line="240" w:lineRule="auto"/>
        <w:jc w:val="both"/>
        <w:rPr>
          <w:rFonts w:ascii="Book Antiqua" w:hAnsi="Book Antiqua" w:cs="Book Antiqua"/>
          <w:color w:val="000000"/>
          <w:sz w:val="16"/>
          <w:szCs w:val="16"/>
          <w:highlight w:val="yellow"/>
        </w:rPr>
      </w:pPr>
      <w:r>
        <w:rPr>
          <w:rFonts w:ascii="Book Antiqua" w:hAnsi="Book Antiqua" w:cs="Book Antiqua"/>
          <w:sz w:val="16"/>
          <w:szCs w:val="16"/>
          <w:highlight w:val="yellow"/>
        </w:rPr>
        <w:t xml:space="preserve">Il calcolo dell’imposta IMU per la </w:t>
      </w:r>
      <w:r>
        <w:rPr>
          <w:rFonts w:ascii="Book Antiqua" w:hAnsi="Book Antiqua" w:cs="Book Antiqua"/>
          <w:b/>
          <w:bCs/>
          <w:sz w:val="16"/>
          <w:szCs w:val="16"/>
          <w:highlight w:val="yellow"/>
        </w:rPr>
        <w:t xml:space="preserve">RATA </w:t>
      </w:r>
      <w:proofErr w:type="spellStart"/>
      <w:r>
        <w:rPr>
          <w:rFonts w:ascii="Book Antiqua" w:hAnsi="Book Antiqua" w:cs="Book Antiqua"/>
          <w:b/>
          <w:bCs/>
          <w:sz w:val="16"/>
          <w:szCs w:val="16"/>
          <w:highlight w:val="yellow"/>
        </w:rPr>
        <w:t>DI</w:t>
      </w:r>
      <w:proofErr w:type="spellEnd"/>
      <w:r>
        <w:rPr>
          <w:rFonts w:ascii="Book Antiqua" w:hAnsi="Book Antiqua" w:cs="Book Antiqua"/>
          <w:b/>
          <w:bCs/>
          <w:sz w:val="16"/>
          <w:szCs w:val="16"/>
          <w:highlight w:val="yellow"/>
        </w:rPr>
        <w:t xml:space="preserve"> ACCONTO</w:t>
      </w:r>
      <w:r>
        <w:rPr>
          <w:rFonts w:ascii="Book Antiqua" w:hAnsi="Book Antiqua" w:cs="Book Antiqua"/>
          <w:sz w:val="16"/>
          <w:szCs w:val="16"/>
          <w:highlight w:val="yellow"/>
        </w:rPr>
        <w:t xml:space="preserve"> dovrà essere effettuato sulle seguenti aliquote </w:t>
      </w:r>
      <w:r>
        <w:rPr>
          <w:rFonts w:ascii="Book Antiqua" w:hAnsi="Book Antiqua" w:cs="Book Antiqua"/>
          <w:color w:val="000000"/>
          <w:sz w:val="16"/>
          <w:szCs w:val="16"/>
          <w:highlight w:val="yellow"/>
        </w:rPr>
        <w:t xml:space="preserve">stabilite dal Comune </w:t>
      </w:r>
    </w:p>
    <w:p w:rsidR="00114053" w:rsidRDefault="00114053" w:rsidP="00114053">
      <w:pPr>
        <w:autoSpaceDE w:val="0"/>
        <w:autoSpaceDN w:val="0"/>
        <w:adjustRightInd w:val="0"/>
        <w:spacing w:after="0" w:line="240" w:lineRule="auto"/>
        <w:ind w:left="284" w:hanging="284"/>
        <w:jc w:val="both"/>
        <w:rPr>
          <w:rFonts w:ascii="Calibri" w:hAnsi="Calibri" w:cs="Calibri"/>
        </w:rPr>
      </w:pPr>
    </w:p>
    <w:tbl>
      <w:tblPr>
        <w:tblW w:w="0" w:type="auto"/>
        <w:tblInd w:w="108" w:type="dxa"/>
        <w:tblLayout w:type="fixed"/>
        <w:tblLook w:val="0000"/>
      </w:tblPr>
      <w:tblGrid>
        <w:gridCol w:w="2941"/>
        <w:gridCol w:w="7699"/>
      </w:tblGrid>
      <w:tr w:rsidR="00114053">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b/>
                <w:bCs/>
                <w:color w:val="000000"/>
                <w:sz w:val="16"/>
                <w:szCs w:val="16"/>
              </w:rPr>
              <w:t>ALIQUOTE</w:t>
            </w: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p>
        </w:tc>
      </w:tr>
      <w:tr w:rsidR="00114053">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A"/>
                <w:sz w:val="16"/>
                <w:szCs w:val="16"/>
              </w:rPr>
              <w:t xml:space="preserve">4,00 </w:t>
            </w:r>
            <w:r>
              <w:rPr>
                <w:rFonts w:ascii="Book Antiqua" w:hAnsi="Book Antiqua" w:cs="Book Antiqua"/>
                <w:color w:val="000000"/>
                <w:sz w:val="16"/>
                <w:szCs w:val="16"/>
              </w:rPr>
              <w:t>PER MILLE</w:t>
            </w: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Unità immobiliare adibita ad abitazione principale classificate nelle categorie A/1, A/8 e A/9 e relative pertinenze.</w:t>
            </w:r>
          </w:p>
        </w:tc>
      </w:tr>
      <w:tr w:rsidR="00114053">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A"/>
                <w:sz w:val="16"/>
                <w:szCs w:val="16"/>
              </w:rPr>
              <w:t xml:space="preserve">9,60 </w:t>
            </w:r>
            <w:r>
              <w:rPr>
                <w:rFonts w:ascii="Book Antiqua" w:hAnsi="Book Antiqua" w:cs="Book Antiqua"/>
                <w:color w:val="000000"/>
                <w:sz w:val="16"/>
                <w:szCs w:val="16"/>
              </w:rPr>
              <w:t>PER MILLE (7,60 quota Stato e 2,00 quota comune)</w:t>
            </w: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Per tutti gli immobili del gruppo catastale “D” immobili produttivi, con esclusione della categoria D/10 “immobili produttivi strumentali agricoli” esenti dal 1° gennaio 2014</w:t>
            </w:r>
          </w:p>
        </w:tc>
      </w:tr>
      <w:tr w:rsidR="00114053">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A"/>
                <w:sz w:val="16"/>
                <w:szCs w:val="16"/>
              </w:rPr>
              <w:t xml:space="preserve">9.60 </w:t>
            </w:r>
            <w:r>
              <w:rPr>
                <w:rFonts w:ascii="Book Antiqua" w:hAnsi="Book Antiqua" w:cs="Book Antiqua"/>
                <w:color w:val="000000"/>
                <w:sz w:val="16"/>
                <w:szCs w:val="16"/>
              </w:rPr>
              <w:t>PER MILLE</w:t>
            </w: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 xml:space="preserve">Per tutti gli altri immobili diversi dai precedenti (altri fabbricati, aree fabbricabili, uffici, negozi, </w:t>
            </w:r>
            <w:proofErr w:type="spellStart"/>
            <w:r>
              <w:rPr>
                <w:rFonts w:ascii="Book Antiqua" w:hAnsi="Book Antiqua" w:cs="Book Antiqua"/>
                <w:color w:val="000000"/>
                <w:sz w:val="16"/>
                <w:szCs w:val="16"/>
              </w:rPr>
              <w:t>ecc…</w:t>
            </w:r>
            <w:proofErr w:type="spellEnd"/>
            <w:r>
              <w:rPr>
                <w:rFonts w:ascii="Book Antiqua" w:hAnsi="Book Antiqua" w:cs="Book Antiqua"/>
                <w:color w:val="000000"/>
                <w:sz w:val="16"/>
                <w:szCs w:val="16"/>
              </w:rPr>
              <w:t>).</w:t>
            </w:r>
          </w:p>
        </w:tc>
      </w:tr>
    </w:tbl>
    <w:p w:rsidR="00114053" w:rsidRDefault="00114053" w:rsidP="00114053">
      <w:pPr>
        <w:autoSpaceDE w:val="0"/>
        <w:autoSpaceDN w:val="0"/>
        <w:adjustRightInd w:val="0"/>
        <w:spacing w:after="0" w:line="240" w:lineRule="auto"/>
        <w:jc w:val="both"/>
        <w:rPr>
          <w:rFonts w:ascii="Calibri" w:hAnsi="Calibri" w:cs="Calibri"/>
        </w:rPr>
      </w:pPr>
    </w:p>
    <w:p w:rsidR="00114053" w:rsidRDefault="00114053" w:rsidP="00114053">
      <w:pPr>
        <w:numPr>
          <w:ilvl w:val="0"/>
          <w:numId w:val="1"/>
        </w:numPr>
        <w:autoSpaceDE w:val="0"/>
        <w:autoSpaceDN w:val="0"/>
        <w:adjustRightInd w:val="0"/>
        <w:spacing w:after="0" w:line="240" w:lineRule="auto"/>
        <w:ind w:left="284" w:hanging="284"/>
        <w:rPr>
          <w:rFonts w:ascii="Book Antiqua" w:hAnsi="Book Antiqua" w:cs="Book Antiqua"/>
          <w:b/>
          <w:bCs/>
          <w:color w:val="00000A"/>
          <w:sz w:val="16"/>
          <w:szCs w:val="16"/>
        </w:rPr>
      </w:pPr>
      <w:r>
        <w:rPr>
          <w:rFonts w:ascii="Book Antiqua" w:hAnsi="Book Antiqua" w:cs="Book Antiqua"/>
          <w:b/>
          <w:bCs/>
          <w:color w:val="00000A"/>
          <w:sz w:val="16"/>
          <w:szCs w:val="16"/>
        </w:rPr>
        <w:t>le detrazioni:</w:t>
      </w:r>
    </w:p>
    <w:p w:rsidR="00114053" w:rsidRDefault="00114053" w:rsidP="00114053">
      <w:pPr>
        <w:autoSpaceDE w:val="0"/>
        <w:autoSpaceDN w:val="0"/>
        <w:adjustRightInd w:val="0"/>
        <w:spacing w:after="0" w:line="240" w:lineRule="auto"/>
        <w:ind w:left="284" w:hanging="284"/>
        <w:jc w:val="both"/>
        <w:rPr>
          <w:rFonts w:ascii="Book Antiqua" w:hAnsi="Book Antiqua" w:cs="Book Antiqua"/>
          <w:color w:val="00000A"/>
          <w:sz w:val="16"/>
          <w:szCs w:val="16"/>
        </w:rPr>
      </w:pPr>
      <w:r>
        <w:rPr>
          <w:rFonts w:ascii="Book Antiqua" w:hAnsi="Book Antiqua" w:cs="Book Antiqua"/>
          <w:b/>
          <w:bCs/>
          <w:color w:val="00000A"/>
          <w:sz w:val="16"/>
          <w:szCs w:val="16"/>
        </w:rPr>
        <w:t>a</w:t>
      </w:r>
      <w:r>
        <w:rPr>
          <w:rFonts w:ascii="Book Antiqua" w:hAnsi="Book Antiqua" w:cs="Book Antiqua"/>
          <w:color w:val="00000A"/>
          <w:sz w:val="16"/>
          <w:szCs w:val="16"/>
        </w:rPr>
        <w:t xml:space="preserve">)  </w:t>
      </w:r>
      <w:r>
        <w:rPr>
          <w:rFonts w:ascii="Book Antiqua" w:hAnsi="Book Antiqua" w:cs="Book Antiqua"/>
          <w:b/>
          <w:bCs/>
          <w:color w:val="00000A"/>
          <w:sz w:val="16"/>
          <w:szCs w:val="16"/>
        </w:rPr>
        <w:t>pe</w:t>
      </w:r>
      <w:r>
        <w:rPr>
          <w:rFonts w:ascii="Book Antiqua" w:hAnsi="Book Antiqua" w:cs="Book Antiqua"/>
          <w:color w:val="00000A"/>
          <w:sz w:val="16"/>
          <w:szCs w:val="16"/>
        </w:rPr>
        <w:t xml:space="preserve">r </w:t>
      </w:r>
      <w:r>
        <w:rPr>
          <w:rFonts w:ascii="Book Antiqua" w:hAnsi="Book Antiqua" w:cs="Book Antiqua"/>
          <w:b/>
          <w:bCs/>
          <w:color w:val="00000A"/>
          <w:sz w:val="16"/>
          <w:szCs w:val="16"/>
        </w:rPr>
        <w:t>l'unità</w:t>
      </w:r>
      <w:r>
        <w:rPr>
          <w:rFonts w:ascii="Book Antiqua" w:hAnsi="Book Antiqua" w:cs="Book Antiqua"/>
          <w:color w:val="00000A"/>
          <w:sz w:val="16"/>
          <w:szCs w:val="16"/>
        </w:rPr>
        <w:t xml:space="preserve"> </w:t>
      </w:r>
      <w:r>
        <w:rPr>
          <w:rFonts w:ascii="Book Antiqua" w:hAnsi="Book Antiqua" w:cs="Book Antiqua"/>
          <w:b/>
          <w:bCs/>
          <w:color w:val="00000A"/>
          <w:sz w:val="16"/>
          <w:szCs w:val="16"/>
        </w:rPr>
        <w:t>immobiliare</w:t>
      </w:r>
      <w:r>
        <w:rPr>
          <w:rFonts w:ascii="Book Antiqua" w:hAnsi="Book Antiqua" w:cs="Book Antiqua"/>
          <w:color w:val="00000A"/>
          <w:sz w:val="16"/>
          <w:szCs w:val="16"/>
        </w:rPr>
        <w:t xml:space="preserve"> </w:t>
      </w:r>
      <w:r>
        <w:rPr>
          <w:rFonts w:ascii="Book Antiqua" w:hAnsi="Book Antiqua" w:cs="Book Antiqua"/>
          <w:b/>
          <w:bCs/>
          <w:color w:val="00000A"/>
          <w:sz w:val="16"/>
          <w:szCs w:val="16"/>
        </w:rPr>
        <w:t>appartenent</w:t>
      </w:r>
      <w:r>
        <w:rPr>
          <w:rFonts w:ascii="Book Antiqua" w:hAnsi="Book Antiqua" w:cs="Book Antiqua"/>
          <w:color w:val="00000A"/>
          <w:sz w:val="16"/>
          <w:szCs w:val="16"/>
        </w:rPr>
        <w:t xml:space="preserve">e </w:t>
      </w:r>
      <w:r>
        <w:rPr>
          <w:rFonts w:ascii="Book Antiqua" w:hAnsi="Book Antiqua" w:cs="Book Antiqua"/>
          <w:b/>
          <w:bCs/>
          <w:color w:val="00000A"/>
          <w:sz w:val="16"/>
          <w:szCs w:val="16"/>
        </w:rPr>
        <w:t>all</w:t>
      </w:r>
      <w:r>
        <w:rPr>
          <w:rFonts w:ascii="Book Antiqua" w:hAnsi="Book Antiqua" w:cs="Book Antiqua"/>
          <w:color w:val="00000A"/>
          <w:sz w:val="16"/>
          <w:szCs w:val="16"/>
        </w:rPr>
        <w:t xml:space="preserve">a </w:t>
      </w:r>
      <w:r>
        <w:rPr>
          <w:rFonts w:ascii="Book Antiqua" w:hAnsi="Book Antiqua" w:cs="Book Antiqua"/>
          <w:b/>
          <w:bCs/>
          <w:color w:val="00000A"/>
          <w:sz w:val="16"/>
          <w:szCs w:val="16"/>
        </w:rPr>
        <w:t>categori</w:t>
      </w:r>
      <w:r>
        <w:rPr>
          <w:rFonts w:ascii="Book Antiqua" w:hAnsi="Book Antiqua" w:cs="Book Antiqua"/>
          <w:color w:val="00000A"/>
          <w:sz w:val="16"/>
          <w:szCs w:val="16"/>
        </w:rPr>
        <w:t xml:space="preserve">a </w:t>
      </w:r>
      <w:r>
        <w:rPr>
          <w:rFonts w:ascii="Book Antiqua" w:hAnsi="Book Antiqua" w:cs="Book Antiqua"/>
          <w:b/>
          <w:bCs/>
          <w:color w:val="00000A"/>
          <w:sz w:val="16"/>
          <w:szCs w:val="16"/>
        </w:rPr>
        <w:t>catastal</w:t>
      </w:r>
      <w:r>
        <w:rPr>
          <w:rFonts w:ascii="Book Antiqua" w:hAnsi="Book Antiqua" w:cs="Book Antiqua"/>
          <w:color w:val="00000A"/>
          <w:sz w:val="16"/>
          <w:szCs w:val="16"/>
        </w:rPr>
        <w:t xml:space="preserve">e </w:t>
      </w:r>
      <w:r>
        <w:rPr>
          <w:rFonts w:ascii="Book Antiqua" w:hAnsi="Book Antiqua" w:cs="Book Antiqua"/>
          <w:b/>
          <w:bCs/>
          <w:color w:val="00000A"/>
          <w:sz w:val="16"/>
          <w:szCs w:val="16"/>
        </w:rPr>
        <w:t>A/1</w:t>
      </w:r>
      <w:r>
        <w:rPr>
          <w:rFonts w:ascii="Calibri" w:hAnsi="Calibri" w:cs="Calibri"/>
          <w:b/>
          <w:bCs/>
          <w:color w:val="00000A"/>
          <w:sz w:val="16"/>
          <w:szCs w:val="16"/>
        </w:rPr>
        <w:t>‐</w:t>
      </w:r>
      <w:r>
        <w:rPr>
          <w:rFonts w:ascii="Book Antiqua" w:hAnsi="Book Antiqua" w:cs="Book Antiqua"/>
          <w:b/>
          <w:bCs/>
          <w:color w:val="00000A"/>
          <w:sz w:val="16"/>
          <w:szCs w:val="16"/>
        </w:rPr>
        <w:t>A/8</w:t>
      </w:r>
      <w:r>
        <w:rPr>
          <w:rFonts w:ascii="Calibri" w:hAnsi="Calibri" w:cs="Calibri"/>
          <w:b/>
          <w:bCs/>
          <w:color w:val="00000A"/>
          <w:sz w:val="16"/>
          <w:szCs w:val="16"/>
        </w:rPr>
        <w:t>‐</w:t>
      </w:r>
      <w:r>
        <w:rPr>
          <w:rFonts w:ascii="Book Antiqua" w:hAnsi="Book Antiqua" w:cs="Book Antiqua"/>
          <w:b/>
          <w:bCs/>
          <w:color w:val="00000A"/>
          <w:sz w:val="16"/>
          <w:szCs w:val="16"/>
        </w:rPr>
        <w:t>A/</w:t>
      </w:r>
      <w:r>
        <w:rPr>
          <w:rFonts w:ascii="Book Antiqua" w:hAnsi="Book Antiqua" w:cs="Book Antiqua"/>
          <w:color w:val="00000A"/>
          <w:sz w:val="16"/>
          <w:szCs w:val="16"/>
        </w:rPr>
        <w:t xml:space="preserve">9 </w:t>
      </w:r>
      <w:r>
        <w:rPr>
          <w:rFonts w:ascii="Book Antiqua" w:hAnsi="Book Antiqua" w:cs="Book Antiqua"/>
          <w:b/>
          <w:bCs/>
          <w:color w:val="00000A"/>
          <w:sz w:val="16"/>
          <w:szCs w:val="16"/>
        </w:rPr>
        <w:t>adibit</w:t>
      </w:r>
      <w:r>
        <w:rPr>
          <w:rFonts w:ascii="Book Antiqua" w:hAnsi="Book Antiqua" w:cs="Book Antiqua"/>
          <w:color w:val="00000A"/>
          <w:sz w:val="16"/>
          <w:szCs w:val="16"/>
        </w:rPr>
        <w:t xml:space="preserve">a </w:t>
      </w:r>
      <w:r>
        <w:rPr>
          <w:rFonts w:ascii="Book Antiqua" w:hAnsi="Book Antiqua" w:cs="Book Antiqua"/>
          <w:b/>
          <w:bCs/>
          <w:color w:val="00000A"/>
          <w:sz w:val="16"/>
          <w:szCs w:val="16"/>
        </w:rPr>
        <w:t>a</w:t>
      </w:r>
      <w:r>
        <w:rPr>
          <w:rFonts w:ascii="Book Antiqua" w:hAnsi="Book Antiqua" w:cs="Book Antiqua"/>
          <w:color w:val="00000A"/>
          <w:sz w:val="16"/>
          <w:szCs w:val="16"/>
        </w:rPr>
        <w:t xml:space="preserve">d </w:t>
      </w:r>
      <w:r>
        <w:rPr>
          <w:rFonts w:ascii="Book Antiqua" w:hAnsi="Book Antiqua" w:cs="Book Antiqua"/>
          <w:b/>
          <w:bCs/>
          <w:color w:val="00000A"/>
          <w:sz w:val="16"/>
          <w:szCs w:val="16"/>
        </w:rPr>
        <w:t>abitazion</w:t>
      </w:r>
      <w:r>
        <w:rPr>
          <w:rFonts w:ascii="Book Antiqua" w:hAnsi="Book Antiqua" w:cs="Book Antiqua"/>
          <w:color w:val="00000A"/>
          <w:sz w:val="16"/>
          <w:szCs w:val="16"/>
        </w:rPr>
        <w:t xml:space="preserve">e </w:t>
      </w:r>
      <w:r>
        <w:rPr>
          <w:rFonts w:ascii="Book Antiqua" w:hAnsi="Book Antiqua" w:cs="Book Antiqua"/>
          <w:b/>
          <w:bCs/>
          <w:color w:val="00000A"/>
          <w:sz w:val="16"/>
          <w:szCs w:val="16"/>
        </w:rPr>
        <w:t>principal</w:t>
      </w:r>
      <w:r>
        <w:rPr>
          <w:rFonts w:ascii="Book Antiqua" w:hAnsi="Book Antiqua" w:cs="Book Antiqua"/>
          <w:color w:val="00000A"/>
          <w:sz w:val="16"/>
          <w:szCs w:val="16"/>
        </w:rPr>
        <w:t xml:space="preserve">e del soggetto passivo e per le relative pertinenze, per la quale continua ad applicarsi l’imposta, si detraggono, fino a concorrenza del suo ammontare, </w:t>
      </w:r>
      <w:r>
        <w:rPr>
          <w:rFonts w:ascii="Book Antiqua" w:hAnsi="Book Antiqua" w:cs="Book Antiqua"/>
          <w:b/>
          <w:bCs/>
          <w:color w:val="00000A"/>
          <w:sz w:val="16"/>
          <w:szCs w:val="16"/>
        </w:rPr>
        <w:t>€ 200,00</w:t>
      </w:r>
      <w:r>
        <w:rPr>
          <w:rFonts w:ascii="Book Antiqua" w:hAnsi="Book Antiqua" w:cs="Book Antiqua"/>
          <w:color w:val="00000A"/>
          <w:sz w:val="16"/>
          <w:szCs w:val="16"/>
        </w:rPr>
        <w:t xml:space="preserve"> rapportati al periodo dell'anno durante il quale si protrae tale destinazione; se l'unità immobiliare è adibita ad abitazione principale da più soggetti passivi, la detrazione spetta a ciascuno di essi proporzionalmente alla quota per la quale la destinazione si verifica; </w:t>
      </w:r>
    </w:p>
    <w:p w:rsidR="00114053" w:rsidRDefault="00114053" w:rsidP="00114053">
      <w:p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b)  per agli alloggi regolarmente assegnati dagli Istituti autonomi per le case popolari (IACP) o dagli enti di edilizia residenziale pubblica, comunque denominati, aventi le stesse finalità degli IACP, istituiti in attuazione dell’articolo 93 del decreto del Presidente della Repubblica 24 luglio 1977, n. 616 si detraggono fino a concorrenza del suo ammontare; € 200,00 rapportato al periodo dell’anno durante il quale si protrae tale destinazione.</w:t>
      </w:r>
    </w:p>
    <w:p w:rsidR="00114053" w:rsidRDefault="00114053" w:rsidP="00114053">
      <w:pPr>
        <w:autoSpaceDE w:val="0"/>
        <w:autoSpaceDN w:val="0"/>
        <w:adjustRightInd w:val="0"/>
        <w:spacing w:after="0" w:line="240" w:lineRule="auto"/>
        <w:ind w:left="284" w:hanging="284"/>
        <w:jc w:val="both"/>
        <w:rPr>
          <w:rFonts w:ascii="Calibri" w:hAnsi="Calibri" w:cs="Calibri"/>
        </w:rPr>
      </w:pPr>
    </w:p>
    <w:tbl>
      <w:tblPr>
        <w:tblW w:w="0" w:type="auto"/>
        <w:tblInd w:w="70" w:type="dxa"/>
        <w:tblLayout w:type="fixed"/>
        <w:tblCellMar>
          <w:left w:w="70" w:type="dxa"/>
          <w:right w:w="70" w:type="dxa"/>
        </w:tblCellMar>
        <w:tblLook w:val="0000"/>
      </w:tblPr>
      <w:tblGrid>
        <w:gridCol w:w="5023"/>
        <w:gridCol w:w="3056"/>
        <w:gridCol w:w="2553"/>
      </w:tblGrid>
      <w:tr w:rsidR="00114053">
        <w:trPr>
          <w:trHeight w:val="198"/>
        </w:trPr>
        <w:tc>
          <w:tcPr>
            <w:tcW w:w="5023" w:type="dxa"/>
            <w:vMerge w:val="restart"/>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line="240" w:lineRule="auto"/>
              <w:jc w:val="both"/>
              <w:rPr>
                <w:rFonts w:ascii="Book Antiqua" w:hAnsi="Book Antiqua" w:cs="Book Antiqua"/>
                <w:b/>
                <w:bCs/>
                <w:color w:val="000000"/>
                <w:u w:val="single"/>
              </w:rPr>
            </w:pPr>
            <w:r>
              <w:rPr>
                <w:rFonts w:ascii="Book Antiqua" w:hAnsi="Book Antiqua" w:cs="Book Antiqua"/>
                <w:b/>
                <w:bCs/>
                <w:color w:val="000000"/>
                <w:u w:val="single"/>
              </w:rPr>
              <w:t>CALCOLO DELLA BASE IMPONIBILE</w:t>
            </w:r>
          </w:p>
          <w:p w:rsidR="00114053" w:rsidRDefault="00114053">
            <w:pPr>
              <w:autoSpaceDE w:val="0"/>
              <w:autoSpaceDN w:val="0"/>
              <w:adjustRightInd w:val="0"/>
              <w:spacing w:after="0" w:line="240" w:lineRule="auto"/>
              <w:rPr>
                <w:rFonts w:ascii="Calibri" w:hAnsi="Calibri" w:cs="Calibri"/>
              </w:rPr>
            </w:pPr>
          </w:p>
          <w:p w:rsidR="00114053" w:rsidRDefault="00114053">
            <w:pPr>
              <w:tabs>
                <w:tab w:val="left" w:pos="13906"/>
              </w:tabs>
              <w:autoSpaceDE w:val="0"/>
              <w:autoSpaceDN w:val="0"/>
              <w:adjustRightInd w:val="0"/>
              <w:spacing w:after="0"/>
              <w:rPr>
                <w:rFonts w:ascii="Book Antiqua" w:hAnsi="Book Antiqua" w:cs="Book Antiqua"/>
                <w:sz w:val="16"/>
                <w:szCs w:val="16"/>
              </w:rPr>
            </w:pPr>
            <w:r>
              <w:rPr>
                <w:rFonts w:ascii="Book Antiqua" w:hAnsi="Book Antiqua" w:cs="Book Antiqua"/>
                <w:sz w:val="16"/>
                <w:szCs w:val="16"/>
              </w:rPr>
              <w:t>La base imponibile è calcolata nel seguente modo:</w:t>
            </w:r>
          </w:p>
          <w:p w:rsidR="00114053" w:rsidRDefault="00114053">
            <w:pPr>
              <w:tabs>
                <w:tab w:val="left" w:pos="13906"/>
              </w:tabs>
              <w:autoSpaceDE w:val="0"/>
              <w:autoSpaceDN w:val="0"/>
              <w:adjustRightInd w:val="0"/>
              <w:spacing w:after="0"/>
              <w:rPr>
                <w:rFonts w:ascii="Book Antiqua" w:hAnsi="Book Antiqua" w:cs="Book Antiqua"/>
                <w:b/>
                <w:bCs/>
                <w:sz w:val="16"/>
                <w:szCs w:val="16"/>
              </w:rPr>
            </w:pPr>
            <w:r>
              <w:rPr>
                <w:rFonts w:ascii="Book Antiqua" w:hAnsi="Book Antiqua" w:cs="Book Antiqua"/>
                <w:sz w:val="16"/>
                <w:szCs w:val="16"/>
              </w:rPr>
              <w:t>(Rendita catastale + 5% rivalutazione) x moltiplicatore categoria</w:t>
            </w:r>
            <w:r>
              <w:rPr>
                <w:rFonts w:ascii="Book Antiqua" w:hAnsi="Book Antiqua" w:cs="Book Antiqua"/>
                <w:sz w:val="16"/>
                <w:szCs w:val="16"/>
              </w:rPr>
              <w:br/>
              <w:t xml:space="preserve">catastale = </w:t>
            </w:r>
            <w:r>
              <w:rPr>
                <w:rFonts w:ascii="Book Antiqua" w:hAnsi="Book Antiqua" w:cs="Book Antiqua"/>
                <w:b/>
                <w:bCs/>
                <w:sz w:val="16"/>
                <w:szCs w:val="16"/>
              </w:rPr>
              <w:t>IMPONIBILE</w:t>
            </w:r>
          </w:p>
          <w:p w:rsidR="00114053" w:rsidRDefault="00114053">
            <w:pPr>
              <w:tabs>
                <w:tab w:val="left" w:pos="13906"/>
              </w:tabs>
              <w:autoSpaceDE w:val="0"/>
              <w:autoSpaceDN w:val="0"/>
              <w:adjustRightInd w:val="0"/>
              <w:spacing w:after="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tabs>
                <w:tab w:val="left" w:pos="13906"/>
              </w:tabs>
              <w:autoSpaceDE w:val="0"/>
              <w:autoSpaceDN w:val="0"/>
              <w:adjustRightInd w:val="0"/>
              <w:spacing w:after="0"/>
              <w:jc w:val="center"/>
              <w:rPr>
                <w:rFonts w:ascii="Calibri" w:hAnsi="Calibri" w:cs="Calibri"/>
              </w:rPr>
            </w:pPr>
            <w:r>
              <w:rPr>
                <w:rFonts w:ascii="Book Antiqua" w:hAnsi="Book Antiqua" w:cs="Book Antiqua"/>
                <w:b/>
                <w:bCs/>
                <w:sz w:val="16"/>
                <w:szCs w:val="16"/>
              </w:rPr>
              <w:t>CATEGORIA</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tabs>
                <w:tab w:val="left" w:pos="13906"/>
              </w:tabs>
              <w:autoSpaceDE w:val="0"/>
              <w:autoSpaceDN w:val="0"/>
              <w:adjustRightInd w:val="0"/>
              <w:spacing w:after="0"/>
              <w:jc w:val="center"/>
              <w:rPr>
                <w:rFonts w:ascii="Calibri" w:hAnsi="Calibri" w:cs="Calibri"/>
              </w:rPr>
            </w:pPr>
            <w:r>
              <w:rPr>
                <w:rFonts w:ascii="Book Antiqua" w:hAnsi="Book Antiqua" w:cs="Book Antiqua"/>
                <w:b/>
                <w:bCs/>
                <w:sz w:val="16"/>
                <w:szCs w:val="16"/>
              </w:rPr>
              <w:t>MOLTIPLICATORE</w:t>
            </w:r>
          </w:p>
        </w:tc>
      </w:tr>
      <w:tr w:rsidR="00114053">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rPr>
                <w:rFonts w:ascii="Calibri" w:hAnsi="Calibri" w:cs="Calibri"/>
              </w:rPr>
            </w:pPr>
            <w:r>
              <w:rPr>
                <w:rFonts w:ascii="Book Antiqua" w:hAnsi="Book Antiqua" w:cs="Book Antiqua"/>
                <w:sz w:val="16"/>
                <w:szCs w:val="16"/>
              </w:rPr>
              <w:t>A (esclusi gli A/10); C/2; C/6; C/7</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jc w:val="center"/>
              <w:rPr>
                <w:rFonts w:ascii="Calibri" w:hAnsi="Calibri" w:cs="Calibri"/>
              </w:rPr>
            </w:pPr>
            <w:r>
              <w:rPr>
                <w:rFonts w:ascii="Book Antiqua" w:hAnsi="Book Antiqua" w:cs="Book Antiqua"/>
                <w:sz w:val="16"/>
                <w:szCs w:val="16"/>
              </w:rPr>
              <w:t>160</w:t>
            </w:r>
          </w:p>
        </w:tc>
      </w:tr>
      <w:tr w:rsidR="00114053">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rPr>
                <w:rFonts w:ascii="Calibri" w:hAnsi="Calibri" w:cs="Calibri"/>
              </w:rPr>
            </w:pPr>
            <w:r>
              <w:rPr>
                <w:rFonts w:ascii="Book Antiqua" w:hAnsi="Book Antiqua" w:cs="Book Antiqua"/>
                <w:sz w:val="16"/>
                <w:szCs w:val="16"/>
              </w:rPr>
              <w:t>A/10 e D/5</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jc w:val="center"/>
              <w:rPr>
                <w:rFonts w:ascii="Calibri" w:hAnsi="Calibri" w:cs="Calibri"/>
              </w:rPr>
            </w:pPr>
            <w:r>
              <w:rPr>
                <w:rFonts w:ascii="Book Antiqua" w:hAnsi="Book Antiqua" w:cs="Book Antiqua"/>
                <w:sz w:val="16"/>
                <w:szCs w:val="16"/>
              </w:rPr>
              <w:t>80</w:t>
            </w:r>
          </w:p>
        </w:tc>
      </w:tr>
      <w:tr w:rsidR="00114053">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rPr>
                <w:rFonts w:ascii="Calibri" w:hAnsi="Calibri" w:cs="Calibri"/>
              </w:rPr>
            </w:pPr>
            <w:r>
              <w:rPr>
                <w:rFonts w:ascii="Book Antiqua" w:hAnsi="Book Antiqua" w:cs="Book Antiqua"/>
                <w:sz w:val="16"/>
                <w:szCs w:val="16"/>
              </w:rPr>
              <w:t>B</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jc w:val="center"/>
              <w:rPr>
                <w:rFonts w:ascii="Calibri" w:hAnsi="Calibri" w:cs="Calibri"/>
              </w:rPr>
            </w:pPr>
            <w:r>
              <w:rPr>
                <w:rFonts w:ascii="Book Antiqua" w:hAnsi="Book Antiqua" w:cs="Book Antiqua"/>
                <w:sz w:val="16"/>
                <w:szCs w:val="16"/>
              </w:rPr>
              <w:t>140</w:t>
            </w:r>
          </w:p>
        </w:tc>
      </w:tr>
      <w:tr w:rsidR="00114053">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rPr>
                <w:rFonts w:ascii="Calibri" w:hAnsi="Calibri" w:cs="Calibri"/>
              </w:rPr>
            </w:pPr>
            <w:r>
              <w:rPr>
                <w:rFonts w:ascii="Book Antiqua" w:hAnsi="Book Antiqua" w:cs="Book Antiqua"/>
                <w:sz w:val="16"/>
                <w:szCs w:val="16"/>
              </w:rPr>
              <w:t>C/1</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jc w:val="center"/>
              <w:rPr>
                <w:rFonts w:ascii="Calibri" w:hAnsi="Calibri" w:cs="Calibri"/>
              </w:rPr>
            </w:pPr>
            <w:r>
              <w:rPr>
                <w:rFonts w:ascii="Book Antiqua" w:hAnsi="Book Antiqua" w:cs="Book Antiqua"/>
                <w:sz w:val="16"/>
                <w:szCs w:val="16"/>
              </w:rPr>
              <w:t>55</w:t>
            </w:r>
          </w:p>
        </w:tc>
      </w:tr>
      <w:tr w:rsidR="00114053">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rPr>
                <w:rFonts w:ascii="Calibri" w:hAnsi="Calibri" w:cs="Calibri"/>
              </w:rPr>
            </w:pPr>
            <w:r>
              <w:rPr>
                <w:rFonts w:ascii="Book Antiqua" w:hAnsi="Book Antiqua" w:cs="Book Antiqua"/>
                <w:sz w:val="16"/>
                <w:szCs w:val="16"/>
              </w:rPr>
              <w:t>C/3; C/4, C/5</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jc w:val="center"/>
              <w:rPr>
                <w:rFonts w:ascii="Calibri" w:hAnsi="Calibri" w:cs="Calibri"/>
              </w:rPr>
            </w:pPr>
            <w:r>
              <w:rPr>
                <w:rFonts w:ascii="Book Antiqua" w:hAnsi="Book Antiqua" w:cs="Book Antiqua"/>
                <w:sz w:val="16"/>
                <w:szCs w:val="16"/>
              </w:rPr>
              <w:t>140</w:t>
            </w:r>
          </w:p>
        </w:tc>
      </w:tr>
      <w:tr w:rsidR="00114053">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rPr>
                <w:rFonts w:ascii="Calibri" w:hAnsi="Calibri" w:cs="Calibri"/>
              </w:rPr>
            </w:pPr>
            <w:r>
              <w:rPr>
                <w:rFonts w:ascii="Book Antiqua" w:hAnsi="Book Antiqua" w:cs="Book Antiqua"/>
                <w:sz w:val="16"/>
                <w:szCs w:val="16"/>
              </w:rPr>
              <w:t>D (escluso D/5)</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114053" w:rsidRDefault="00114053">
            <w:pPr>
              <w:autoSpaceDE w:val="0"/>
              <w:autoSpaceDN w:val="0"/>
              <w:adjustRightInd w:val="0"/>
              <w:spacing w:after="0"/>
              <w:jc w:val="center"/>
              <w:rPr>
                <w:rFonts w:ascii="Calibri" w:hAnsi="Calibri" w:cs="Calibri"/>
              </w:rPr>
            </w:pPr>
            <w:r>
              <w:rPr>
                <w:rFonts w:ascii="Book Antiqua" w:hAnsi="Book Antiqua" w:cs="Book Antiqua"/>
                <w:sz w:val="16"/>
                <w:szCs w:val="16"/>
              </w:rPr>
              <w:t>65</w:t>
            </w:r>
          </w:p>
        </w:tc>
      </w:tr>
    </w:tbl>
    <w:p w:rsidR="00114053" w:rsidRDefault="00114053" w:rsidP="00114053">
      <w:pPr>
        <w:autoSpaceDE w:val="0"/>
        <w:autoSpaceDN w:val="0"/>
        <w:adjustRightInd w:val="0"/>
        <w:spacing w:after="0" w:line="240" w:lineRule="auto"/>
        <w:ind w:left="284" w:hanging="284"/>
        <w:jc w:val="both"/>
        <w:rPr>
          <w:rFonts w:ascii="Calibri" w:hAnsi="Calibri" w:cs="Calibri"/>
        </w:rPr>
      </w:pPr>
    </w:p>
    <w:p w:rsidR="00114053" w:rsidRDefault="00114053" w:rsidP="00114053">
      <w:pPr>
        <w:autoSpaceDE w:val="0"/>
        <w:autoSpaceDN w:val="0"/>
        <w:adjustRightInd w:val="0"/>
        <w:spacing w:after="0" w:line="240" w:lineRule="auto"/>
        <w:rPr>
          <w:rFonts w:ascii="Book Antiqua" w:hAnsi="Book Antiqua" w:cs="Book Antiqua"/>
          <w:b/>
          <w:bCs/>
          <w:color w:val="000000"/>
          <w:sz w:val="16"/>
          <w:szCs w:val="16"/>
        </w:rPr>
      </w:pPr>
      <w:r>
        <w:rPr>
          <w:rFonts w:ascii="Book Antiqua" w:hAnsi="Book Antiqua" w:cs="Book Antiqua"/>
          <w:b/>
          <w:bCs/>
          <w:color w:val="000000"/>
          <w:sz w:val="16"/>
          <w:szCs w:val="16"/>
        </w:rPr>
        <w:t xml:space="preserve">MODALITA’ </w:t>
      </w:r>
      <w:proofErr w:type="spellStart"/>
      <w:r>
        <w:rPr>
          <w:rFonts w:ascii="Book Antiqua" w:hAnsi="Book Antiqua" w:cs="Book Antiqua"/>
          <w:b/>
          <w:bCs/>
          <w:color w:val="000000"/>
          <w:sz w:val="16"/>
          <w:szCs w:val="16"/>
        </w:rPr>
        <w:t>DI</w:t>
      </w:r>
      <w:proofErr w:type="spellEnd"/>
      <w:r>
        <w:rPr>
          <w:rFonts w:ascii="Book Antiqua" w:hAnsi="Book Antiqua" w:cs="Book Antiqua"/>
          <w:b/>
          <w:bCs/>
          <w:color w:val="000000"/>
          <w:sz w:val="16"/>
          <w:szCs w:val="16"/>
        </w:rPr>
        <w:t xml:space="preserve">  VERSAMENTO</w:t>
      </w:r>
    </w:p>
    <w:tbl>
      <w:tblPr>
        <w:tblW w:w="0" w:type="auto"/>
        <w:tblInd w:w="108" w:type="dxa"/>
        <w:tblLayout w:type="fixed"/>
        <w:tblLook w:val="0000"/>
      </w:tblPr>
      <w:tblGrid>
        <w:gridCol w:w="1415"/>
        <w:gridCol w:w="9225"/>
      </w:tblGrid>
      <w:tr w:rsidR="00114053">
        <w:trPr>
          <w:trHeight w:val="1"/>
        </w:trPr>
        <w:tc>
          <w:tcPr>
            <w:tcW w:w="1415"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Mod. F24</w:t>
            </w:r>
          </w:p>
        </w:tc>
        <w:tc>
          <w:tcPr>
            <w:tcW w:w="9225"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Presso gli sportelli bancari o postali utilizzando il modello F24</w:t>
            </w:r>
          </w:p>
        </w:tc>
      </w:tr>
      <w:tr w:rsidR="00114053">
        <w:trPr>
          <w:trHeight w:val="1"/>
        </w:trPr>
        <w:tc>
          <w:tcPr>
            <w:tcW w:w="1415"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Arrotondamento</w:t>
            </w:r>
          </w:p>
        </w:tc>
        <w:tc>
          <w:tcPr>
            <w:tcW w:w="9225" w:type="dxa"/>
            <w:tcBorders>
              <w:top w:val="single" w:sz="4" w:space="0" w:color="000001"/>
              <w:left w:val="single" w:sz="4" w:space="0" w:color="000001"/>
              <w:bottom w:val="single" w:sz="4" w:space="0" w:color="000001"/>
              <w:right w:val="single" w:sz="4" w:space="0" w:color="000001"/>
            </w:tcBorders>
            <w:shd w:val="clear" w:color="000000" w:fill="FFFFFF"/>
          </w:tcPr>
          <w:p w:rsidR="00114053" w:rsidRDefault="00114053">
            <w:pPr>
              <w:autoSpaceDE w:val="0"/>
              <w:autoSpaceDN w:val="0"/>
              <w:adjustRightInd w:val="0"/>
              <w:spacing w:after="0" w:line="240" w:lineRule="auto"/>
              <w:rPr>
                <w:rFonts w:ascii="Book Antiqua" w:hAnsi="Book Antiqua" w:cs="Book Antiqua"/>
                <w:color w:val="000000"/>
                <w:sz w:val="16"/>
                <w:szCs w:val="16"/>
              </w:rPr>
            </w:pPr>
            <w:r>
              <w:rPr>
                <w:rFonts w:ascii="Book Antiqua" w:hAnsi="Book Antiqua" w:cs="Book Antiqua"/>
                <w:color w:val="000000"/>
                <w:sz w:val="16"/>
                <w:szCs w:val="16"/>
              </w:rPr>
              <w:t>Sul totale dovuto, all’euro per difetto se la frazione è uguale o inferiore a 49 centesimi, ovvero all’euro per eccesso se uguale o superiore a 50 centesimi.</w:t>
            </w:r>
          </w:p>
          <w:p w:rsidR="00114053" w:rsidRDefault="00114053">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L’imposta non è dovuta se il totale annuo è inferiore a € 12,00</w:t>
            </w:r>
          </w:p>
        </w:tc>
      </w:tr>
    </w:tbl>
    <w:p w:rsidR="00114053" w:rsidRDefault="00114053" w:rsidP="00114053">
      <w:pPr>
        <w:autoSpaceDE w:val="0"/>
        <w:autoSpaceDN w:val="0"/>
        <w:adjustRightInd w:val="0"/>
        <w:spacing w:after="0" w:line="240" w:lineRule="auto"/>
        <w:rPr>
          <w:rFonts w:ascii="Calibri" w:hAnsi="Calibri" w:cs="Calibri"/>
        </w:rPr>
      </w:pPr>
    </w:p>
    <w:p w:rsidR="00114053" w:rsidRDefault="00114053" w:rsidP="00114053">
      <w:pPr>
        <w:autoSpaceDE w:val="0"/>
        <w:autoSpaceDN w:val="0"/>
        <w:adjustRightInd w:val="0"/>
        <w:spacing w:after="0" w:line="240" w:lineRule="auto"/>
        <w:jc w:val="both"/>
        <w:rPr>
          <w:rFonts w:ascii="Calibri" w:hAnsi="Calibri" w:cs="Calibri"/>
        </w:rPr>
      </w:pPr>
    </w:p>
    <w:p w:rsidR="00114053" w:rsidRDefault="00114053" w:rsidP="00114053">
      <w:pPr>
        <w:autoSpaceDE w:val="0"/>
        <w:autoSpaceDN w:val="0"/>
        <w:adjustRightInd w:val="0"/>
        <w:spacing w:after="0" w:line="240" w:lineRule="auto"/>
        <w:jc w:val="both"/>
        <w:rPr>
          <w:rFonts w:ascii="Book Antiqua" w:hAnsi="Book Antiqua" w:cs="Book Antiqua"/>
          <w:b/>
          <w:bCs/>
          <w:color w:val="000000"/>
          <w:sz w:val="28"/>
          <w:szCs w:val="28"/>
        </w:rPr>
      </w:pPr>
      <w:r>
        <w:rPr>
          <w:rFonts w:ascii="Book Antiqua" w:hAnsi="Book Antiqua" w:cs="Book Antiqua"/>
          <w:color w:val="000000"/>
          <w:sz w:val="18"/>
          <w:szCs w:val="18"/>
        </w:rPr>
        <w:t xml:space="preserve">CODICE CATASTALE DEL COMUNE    </w:t>
      </w:r>
      <w:r>
        <w:rPr>
          <w:rFonts w:ascii="Book Antiqua" w:hAnsi="Book Antiqua" w:cs="Book Antiqua"/>
          <w:b/>
          <w:bCs/>
          <w:color w:val="000000"/>
          <w:sz w:val="28"/>
          <w:szCs w:val="28"/>
        </w:rPr>
        <w:t>I546</w:t>
      </w:r>
    </w:p>
    <w:p w:rsidR="00114053" w:rsidRDefault="00114053" w:rsidP="00114053">
      <w:pPr>
        <w:autoSpaceDE w:val="0"/>
        <w:autoSpaceDN w:val="0"/>
        <w:adjustRightInd w:val="0"/>
        <w:spacing w:after="0" w:line="240" w:lineRule="auto"/>
        <w:jc w:val="both"/>
        <w:rPr>
          <w:rFonts w:ascii="Calibri" w:hAnsi="Calibri" w:cs="Calibri"/>
        </w:rPr>
      </w:pPr>
    </w:p>
    <w:p w:rsidR="00114053" w:rsidRDefault="00114053" w:rsidP="00114053">
      <w:pPr>
        <w:autoSpaceDE w:val="0"/>
        <w:autoSpaceDN w:val="0"/>
        <w:adjustRightInd w:val="0"/>
        <w:spacing w:after="0" w:line="240" w:lineRule="auto"/>
        <w:jc w:val="both"/>
        <w:rPr>
          <w:rFonts w:ascii="Book Antiqua" w:hAnsi="Book Antiqua" w:cs="Book Antiqua"/>
          <w:b/>
          <w:bCs/>
          <w:sz w:val="18"/>
          <w:szCs w:val="18"/>
        </w:rPr>
      </w:pPr>
      <w:r>
        <w:rPr>
          <w:rFonts w:ascii="Book Antiqua" w:hAnsi="Book Antiqua" w:cs="Book Antiqua"/>
          <w:b/>
          <w:bCs/>
          <w:sz w:val="18"/>
          <w:szCs w:val="18"/>
        </w:rPr>
        <w:t>CODICI IMU PER IL VERSAMENTO DELL’IMPOSTA CON F24</w:t>
      </w:r>
    </w:p>
    <w:p w:rsidR="00114053" w:rsidRDefault="00114053" w:rsidP="00114053">
      <w:pPr>
        <w:autoSpaceDE w:val="0"/>
        <w:autoSpaceDN w:val="0"/>
        <w:adjustRightInd w:val="0"/>
        <w:spacing w:after="0" w:line="240" w:lineRule="auto"/>
        <w:rPr>
          <w:rFonts w:ascii="Calibri" w:hAnsi="Calibri" w:cs="Calibri"/>
        </w:rPr>
      </w:pPr>
    </w:p>
    <w:p w:rsidR="00114053" w:rsidRDefault="00114053" w:rsidP="00114053">
      <w:pPr>
        <w:autoSpaceDE w:val="0"/>
        <w:autoSpaceDN w:val="0"/>
        <w:adjustRightInd w:val="0"/>
        <w:spacing w:after="0" w:line="240" w:lineRule="auto"/>
        <w:ind w:right="140"/>
        <w:jc w:val="both"/>
        <w:rPr>
          <w:rFonts w:ascii="Book Antiqua" w:hAnsi="Book Antiqua" w:cs="Book Antiqua"/>
          <w:color w:val="000000"/>
          <w:sz w:val="18"/>
          <w:szCs w:val="18"/>
        </w:rPr>
      </w:pPr>
      <w:r>
        <w:rPr>
          <w:rFonts w:ascii="Book Antiqua" w:hAnsi="Book Antiqua" w:cs="Book Antiqua"/>
          <w:color w:val="000000"/>
          <w:sz w:val="18"/>
          <w:szCs w:val="18"/>
        </w:rPr>
        <w:t xml:space="preserve">Per una corretta applicazione dell’imposta, si informa che lo sportello del servizio tributi è aperto il </w:t>
      </w:r>
      <w:r>
        <w:rPr>
          <w:rFonts w:ascii="Book Antiqua" w:hAnsi="Book Antiqua" w:cs="Book Antiqua"/>
          <w:b/>
          <w:bCs/>
          <w:color w:val="000000"/>
          <w:sz w:val="18"/>
          <w:szCs w:val="18"/>
        </w:rPr>
        <w:t xml:space="preserve"> MARTEDI’, MERCOLEDI’ e GIOVEDI’ orari comunali - </w:t>
      </w:r>
      <w:r>
        <w:rPr>
          <w:rFonts w:ascii="Book Antiqua" w:hAnsi="Book Antiqua" w:cs="Book Antiqua"/>
          <w:color w:val="000000"/>
          <w:sz w:val="18"/>
          <w:szCs w:val="18"/>
        </w:rPr>
        <w:t>tel. 0862-7131 – fax 0862-713220</w:t>
      </w:r>
    </w:p>
    <w:p w:rsidR="00114053" w:rsidRDefault="00114053" w:rsidP="00114053">
      <w:pPr>
        <w:autoSpaceDE w:val="0"/>
        <w:autoSpaceDN w:val="0"/>
        <w:adjustRightInd w:val="0"/>
        <w:spacing w:after="0" w:line="240" w:lineRule="auto"/>
        <w:ind w:right="140"/>
        <w:jc w:val="both"/>
        <w:rPr>
          <w:rFonts w:ascii="Calibri" w:hAnsi="Calibri" w:cs="Calibri"/>
        </w:rPr>
      </w:pPr>
    </w:p>
    <w:p w:rsidR="00114053" w:rsidRDefault="00114053" w:rsidP="00114053">
      <w:pPr>
        <w:autoSpaceDE w:val="0"/>
        <w:autoSpaceDN w:val="0"/>
        <w:adjustRightInd w:val="0"/>
        <w:spacing w:after="0" w:line="240" w:lineRule="auto"/>
        <w:ind w:right="140"/>
        <w:jc w:val="both"/>
        <w:rPr>
          <w:rFonts w:ascii="Book Antiqua" w:hAnsi="Book Antiqua" w:cs="Book Antiqua"/>
          <w:b/>
          <w:bCs/>
          <w:sz w:val="18"/>
          <w:szCs w:val="18"/>
        </w:rPr>
      </w:pPr>
      <w:r>
        <w:rPr>
          <w:rFonts w:ascii="Book Antiqua" w:hAnsi="Book Antiqua" w:cs="Book Antiqua"/>
          <w:sz w:val="18"/>
          <w:szCs w:val="18"/>
        </w:rPr>
        <w:t xml:space="preserve">                       </w:t>
      </w:r>
      <w:r>
        <w:rPr>
          <w:rFonts w:ascii="Book Antiqua" w:hAnsi="Book Antiqua" w:cs="Book Antiqua"/>
          <w:sz w:val="18"/>
          <w:szCs w:val="18"/>
        </w:rPr>
        <w:tab/>
      </w:r>
      <w:r>
        <w:rPr>
          <w:rFonts w:ascii="Book Antiqua" w:hAnsi="Book Antiqua" w:cs="Book Antiqua"/>
          <w:sz w:val="18"/>
          <w:szCs w:val="18"/>
        </w:rPr>
        <w:tab/>
      </w:r>
      <w:r>
        <w:rPr>
          <w:rFonts w:ascii="Book Antiqua" w:hAnsi="Book Antiqua" w:cs="Book Antiqua"/>
          <w:sz w:val="18"/>
          <w:szCs w:val="18"/>
        </w:rPr>
        <w:tab/>
      </w:r>
      <w:r>
        <w:rPr>
          <w:rFonts w:ascii="Book Antiqua" w:hAnsi="Book Antiqua" w:cs="Book Antiqua"/>
          <w:sz w:val="18"/>
          <w:szCs w:val="18"/>
        </w:rPr>
        <w:tab/>
      </w:r>
      <w:r>
        <w:rPr>
          <w:rFonts w:ascii="Book Antiqua" w:hAnsi="Book Antiqua" w:cs="Book Antiqua"/>
          <w:sz w:val="18"/>
          <w:szCs w:val="18"/>
        </w:rPr>
        <w:tab/>
        <w:t xml:space="preserve">                                    </w:t>
      </w:r>
      <w:r>
        <w:rPr>
          <w:rFonts w:ascii="Book Antiqua" w:hAnsi="Book Antiqua" w:cs="Book Antiqua"/>
          <w:b/>
          <w:bCs/>
          <w:sz w:val="18"/>
          <w:szCs w:val="18"/>
        </w:rPr>
        <w:t>Il Responsabile del servizio</w:t>
      </w:r>
    </w:p>
    <w:p w:rsidR="00114053" w:rsidRDefault="00114053" w:rsidP="00114053">
      <w:pPr>
        <w:autoSpaceDE w:val="0"/>
        <w:autoSpaceDN w:val="0"/>
        <w:adjustRightInd w:val="0"/>
        <w:spacing w:after="0" w:line="240" w:lineRule="auto"/>
        <w:ind w:left="34" w:right="140"/>
        <w:jc w:val="both"/>
        <w:rPr>
          <w:rFonts w:ascii="Calibri" w:hAnsi="Calibri" w:cs="Calibri"/>
        </w:rPr>
      </w:pPr>
      <w:r>
        <w:rPr>
          <w:rFonts w:ascii="Calibri" w:hAnsi="Calibri" w:cs="Calibri"/>
        </w:rPr>
        <w:t xml:space="preserve">  </w:t>
      </w:r>
    </w:p>
    <w:p w:rsidR="00214D0B" w:rsidRDefault="00214D0B"/>
    <w:sectPr w:rsidR="00214D0B" w:rsidSect="00541BB9">
      <w:pgSz w:w="11906" w:h="16838"/>
      <w:pgMar w:top="709"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aramond,Bold">
    <w:panose1 w:val="00000000000000000000"/>
    <w:charset w:val="00"/>
    <w:family w:val="auto"/>
    <w:notTrueType/>
    <w:pitch w:val="default"/>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464F96A"/>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114053"/>
    <w:rsid w:val="00114053"/>
    <w:rsid w:val="00155FD1"/>
    <w:rsid w:val="00214D0B"/>
    <w:rsid w:val="003547CC"/>
    <w:rsid w:val="00541BB9"/>
    <w:rsid w:val="00E1385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1405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806</Words>
  <Characters>4595</Characters>
  <Application>Microsoft Office Word</Application>
  <DocSecurity>0</DocSecurity>
  <Lines>38</Lines>
  <Paragraphs>10</Paragraphs>
  <ScaleCrop>false</ScaleCrop>
  <Company/>
  <LinksUpToDate>false</LinksUpToDate>
  <CharactersWithSpaces>5391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dc:creator>
  <cp:lastModifiedBy>Marco</cp:lastModifiedBy>
  <cp:revision>3</cp:revision>
  <dcterms:created xsi:type="dcterms:W3CDTF">2016-05-24T09:01:00Z</dcterms:created>
  <dcterms:modified xsi:type="dcterms:W3CDTF">2016-06-07T07:44:00Z</dcterms:modified>
</cp:coreProperties>
</file>